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2CCC" w14:textId="77777777" w:rsidR="0057410F" w:rsidRDefault="0057410F" w:rsidP="00C52B26">
      <w:pPr>
        <w:pStyle w:val="Heading1"/>
      </w:pPr>
    </w:p>
    <w:p w14:paraId="6E0A7129" w14:textId="77777777" w:rsidR="0057410F" w:rsidRPr="0057410F" w:rsidRDefault="0057410F" w:rsidP="0057410F"/>
    <w:p w14:paraId="2EFBF80D" w14:textId="77777777" w:rsidR="00FA6361" w:rsidRDefault="00FA6361" w:rsidP="006A1065">
      <w:pPr>
        <w:pStyle w:val="Heading2"/>
        <w:rPr>
          <w:sz w:val="32"/>
          <w:szCs w:val="32"/>
        </w:rPr>
      </w:pPr>
      <w:r w:rsidRPr="00FA6361">
        <w:rPr>
          <w:sz w:val="32"/>
          <w:szCs w:val="32"/>
        </w:rPr>
        <w:t>Confirmation / Election of Branch Officers</w:t>
      </w:r>
    </w:p>
    <w:p w14:paraId="0F150F66" w14:textId="77777777" w:rsidR="00FA6361" w:rsidRDefault="00FA6361" w:rsidP="006A1065">
      <w:pPr>
        <w:pStyle w:val="Heading2"/>
        <w:rPr>
          <w:sz w:val="32"/>
          <w:szCs w:val="32"/>
        </w:rPr>
      </w:pPr>
    </w:p>
    <w:p w14:paraId="705A17F4" w14:textId="615CD5E4" w:rsidR="00FA6361" w:rsidRDefault="00FA6361" w:rsidP="00FA6361">
      <w:pPr>
        <w:pStyle w:val="Heading2"/>
      </w:pPr>
      <w:proofErr w:type="gramStart"/>
      <w:r w:rsidRPr="00FA6361">
        <w:t>These position</w:t>
      </w:r>
      <w:proofErr w:type="gramEnd"/>
      <w:r w:rsidRPr="00FA6361">
        <w:t xml:space="preserve"> have been nominated and seconded within the agreed timescales and are uncontested.  They are therefore put to you for ratification.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688"/>
        <w:gridCol w:w="2088"/>
      </w:tblGrid>
      <w:tr w:rsidR="000C3F34" w:rsidRPr="00724CFC" w14:paraId="44597090" w14:textId="77777777" w:rsidTr="000C3F34">
        <w:tc>
          <w:tcPr>
            <w:tcW w:w="2906" w:type="pct"/>
          </w:tcPr>
          <w:p w14:paraId="79DBD741" w14:textId="77777777" w:rsidR="000C3F34" w:rsidRPr="000C3F34" w:rsidRDefault="000C3F34" w:rsidP="006612F1">
            <w:pPr>
              <w:jc w:val="center"/>
              <w:rPr>
                <w:rFonts w:cs="Arial"/>
                <w:b/>
              </w:rPr>
            </w:pPr>
            <w:r w:rsidRPr="000C3F34">
              <w:rPr>
                <w:rFonts w:cs="Arial"/>
                <w:b/>
              </w:rPr>
              <w:t>POSITION</w:t>
            </w:r>
          </w:p>
        </w:tc>
        <w:tc>
          <w:tcPr>
            <w:tcW w:w="936" w:type="pct"/>
          </w:tcPr>
          <w:p w14:paraId="01DDBF92" w14:textId="77777777" w:rsidR="000C3F34" w:rsidRPr="000C3F34" w:rsidRDefault="000C3F34" w:rsidP="006612F1">
            <w:pPr>
              <w:jc w:val="center"/>
              <w:rPr>
                <w:rFonts w:cs="Arial"/>
                <w:b/>
              </w:rPr>
            </w:pPr>
            <w:r w:rsidRPr="000C3F34">
              <w:rPr>
                <w:rFonts w:cs="Arial"/>
                <w:b/>
              </w:rPr>
              <w:t>NOMINATION</w:t>
            </w:r>
          </w:p>
        </w:tc>
        <w:tc>
          <w:tcPr>
            <w:tcW w:w="1158" w:type="pct"/>
          </w:tcPr>
          <w:p w14:paraId="330AE755" w14:textId="77777777" w:rsidR="000C3F34" w:rsidRPr="000C3F34" w:rsidRDefault="000C3F34" w:rsidP="006612F1">
            <w:pPr>
              <w:jc w:val="center"/>
              <w:rPr>
                <w:rFonts w:cs="Arial"/>
                <w:b/>
              </w:rPr>
            </w:pPr>
            <w:r w:rsidRPr="000C3F34">
              <w:rPr>
                <w:rFonts w:cs="Arial"/>
                <w:b/>
              </w:rPr>
              <w:t>Agreed/Seconded</w:t>
            </w:r>
          </w:p>
        </w:tc>
      </w:tr>
      <w:tr w:rsidR="000C3F34" w:rsidRPr="00724CFC" w14:paraId="4B72C36B" w14:textId="77777777" w:rsidTr="000C3F34">
        <w:tc>
          <w:tcPr>
            <w:tcW w:w="2906" w:type="pct"/>
          </w:tcPr>
          <w:p w14:paraId="36401623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Branch Chair</w:t>
            </w:r>
          </w:p>
          <w:p w14:paraId="539DFDAD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>Presides over meetings, agrees agendas, ensures all   branch functions are carried out</w:t>
            </w:r>
          </w:p>
        </w:tc>
        <w:tc>
          <w:tcPr>
            <w:tcW w:w="936" w:type="pct"/>
          </w:tcPr>
          <w:p w14:paraId="6F19C231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Karen Evans</w:t>
            </w:r>
          </w:p>
        </w:tc>
        <w:tc>
          <w:tcPr>
            <w:tcW w:w="1158" w:type="pct"/>
          </w:tcPr>
          <w:p w14:paraId="4FA36BFE" w14:textId="6C281A91" w:rsidR="000C3F34" w:rsidRPr="000C3F34" w:rsidRDefault="000C3F34" w:rsidP="000C3F34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</w:tc>
      </w:tr>
      <w:tr w:rsidR="000C3F34" w:rsidRPr="00724CFC" w14:paraId="614349A1" w14:textId="77777777" w:rsidTr="000C3F34">
        <w:tc>
          <w:tcPr>
            <w:tcW w:w="2906" w:type="pct"/>
          </w:tcPr>
          <w:p w14:paraId="0CBFB90A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Branch Secretary</w:t>
            </w:r>
          </w:p>
          <w:p w14:paraId="322A6DF4" w14:textId="77777777" w:rsidR="000C3F34" w:rsidRPr="000C3F34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 xml:space="preserve">Ensures effective running of the branch, represents members, maintain communications, acts as </w:t>
            </w:r>
            <w:proofErr w:type="gramStart"/>
            <w:r w:rsidRPr="000C3F34">
              <w:rPr>
                <w:rFonts w:cs="Arial"/>
                <w:i/>
                <w:sz w:val="20"/>
                <w:szCs w:val="20"/>
              </w:rPr>
              <w:t>spokesperson  for</w:t>
            </w:r>
            <w:proofErr w:type="gramEnd"/>
            <w:r w:rsidRPr="000C3F34">
              <w:rPr>
                <w:rFonts w:cs="Arial"/>
                <w:i/>
                <w:sz w:val="20"/>
                <w:szCs w:val="20"/>
              </w:rPr>
              <w:t xml:space="preserve"> the branch.</w:t>
            </w:r>
          </w:p>
        </w:tc>
        <w:tc>
          <w:tcPr>
            <w:tcW w:w="936" w:type="pct"/>
          </w:tcPr>
          <w:p w14:paraId="20C901C2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  <w:p w14:paraId="5A553A54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</w:t>
            </w:r>
          </w:p>
        </w:tc>
        <w:tc>
          <w:tcPr>
            <w:tcW w:w="1158" w:type="pct"/>
          </w:tcPr>
          <w:p w14:paraId="12AB93F7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5B583056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C3F34" w:rsidRPr="00724CFC" w14:paraId="585034C9" w14:textId="77777777" w:rsidTr="000C3F34">
        <w:tc>
          <w:tcPr>
            <w:tcW w:w="2906" w:type="pct"/>
          </w:tcPr>
          <w:p w14:paraId="6D6C7F06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Treasurer</w:t>
            </w:r>
          </w:p>
          <w:p w14:paraId="76520BB4" w14:textId="77777777" w:rsidR="000C3F34" w:rsidRPr="000C3F34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>Keeps accounts in accordance with the rules, provided detailed financial reports to the branch</w:t>
            </w:r>
          </w:p>
        </w:tc>
        <w:tc>
          <w:tcPr>
            <w:tcW w:w="936" w:type="pct"/>
          </w:tcPr>
          <w:p w14:paraId="4497E26A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  <w:p w14:paraId="11D5D740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Tracey Parry</w:t>
            </w:r>
          </w:p>
          <w:p w14:paraId="53AF6473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58" w:type="pct"/>
          </w:tcPr>
          <w:p w14:paraId="0AAD8472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3DBEB5C6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C3F34" w:rsidRPr="00724CFC" w14:paraId="6F2AC006" w14:textId="77777777" w:rsidTr="000C3F34">
        <w:tc>
          <w:tcPr>
            <w:tcW w:w="2906" w:type="pct"/>
          </w:tcPr>
          <w:p w14:paraId="1805E447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Auditors (2)</w:t>
            </w:r>
          </w:p>
          <w:p w14:paraId="351348CB" w14:textId="77777777" w:rsidR="000C3F34" w:rsidRPr="000C3F34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>Undertakes audit of the financial records, and provide a written report to the branch for AGM</w:t>
            </w:r>
          </w:p>
        </w:tc>
        <w:tc>
          <w:tcPr>
            <w:tcW w:w="936" w:type="pct"/>
          </w:tcPr>
          <w:p w14:paraId="3FDC54C9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  <w:p w14:paraId="02AD6FFA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Salisbury Accountants</w:t>
            </w:r>
          </w:p>
        </w:tc>
        <w:tc>
          <w:tcPr>
            <w:tcW w:w="1158" w:type="pct"/>
          </w:tcPr>
          <w:p w14:paraId="52AD6BD6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620EDC6A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C3F34" w:rsidRPr="00724CFC" w14:paraId="75DB4D42" w14:textId="77777777" w:rsidTr="000C3F34">
        <w:tc>
          <w:tcPr>
            <w:tcW w:w="2906" w:type="pct"/>
          </w:tcPr>
          <w:p w14:paraId="7DB72C7E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Equalities Officer</w:t>
            </w:r>
          </w:p>
          <w:p w14:paraId="7732E218" w14:textId="77777777" w:rsidR="000C3F34" w:rsidRPr="000C3F34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 xml:space="preserve">Point of contact for equalities issues; promote the values of </w:t>
            </w:r>
            <w:proofErr w:type="spellStart"/>
            <w:r w:rsidRPr="000C3F34">
              <w:rPr>
                <w:rFonts w:cs="Arial"/>
                <w:i/>
                <w:sz w:val="20"/>
                <w:szCs w:val="20"/>
              </w:rPr>
              <w:t>self organisation</w:t>
            </w:r>
            <w:proofErr w:type="spellEnd"/>
            <w:r w:rsidRPr="000C3F34">
              <w:rPr>
                <w:rFonts w:cs="Arial"/>
                <w:i/>
                <w:sz w:val="20"/>
                <w:szCs w:val="20"/>
              </w:rPr>
              <w:t>, reports to the branch on equalities issues.</w:t>
            </w:r>
          </w:p>
        </w:tc>
        <w:tc>
          <w:tcPr>
            <w:tcW w:w="936" w:type="pct"/>
          </w:tcPr>
          <w:p w14:paraId="7618AA87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Alice Newe</w:t>
            </w:r>
          </w:p>
        </w:tc>
        <w:tc>
          <w:tcPr>
            <w:tcW w:w="1158" w:type="pct"/>
          </w:tcPr>
          <w:p w14:paraId="2B52E7F8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2699D05D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C3F34" w:rsidRPr="00724CFC" w14:paraId="49B56482" w14:textId="77777777" w:rsidTr="000C3F34">
        <w:tc>
          <w:tcPr>
            <w:tcW w:w="2906" w:type="pct"/>
          </w:tcPr>
          <w:p w14:paraId="38D80878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Communications Officer</w:t>
            </w:r>
          </w:p>
          <w:p w14:paraId="52C9BA6F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>Promote Unison and the Branch via recruitment, campaigns, liaise with members, new members, the public, politicians and employers and other</w:t>
            </w:r>
            <w:r w:rsidRPr="000C3F34">
              <w:rPr>
                <w:rFonts w:cs="Arial"/>
                <w:sz w:val="20"/>
                <w:szCs w:val="20"/>
              </w:rPr>
              <w:t xml:space="preserve"> key groups.</w:t>
            </w:r>
          </w:p>
        </w:tc>
        <w:tc>
          <w:tcPr>
            <w:tcW w:w="936" w:type="pct"/>
          </w:tcPr>
          <w:p w14:paraId="0CE5B067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 xml:space="preserve">Aileen </w:t>
            </w:r>
            <w:r w:rsidRPr="000C3F34">
              <w:rPr>
                <w:rFonts w:cs="Arial"/>
                <w:b/>
                <w:sz w:val="20"/>
                <w:szCs w:val="20"/>
                <w:lang w:val="en-US"/>
              </w:rPr>
              <w:t>Charteris</w:t>
            </w:r>
          </w:p>
        </w:tc>
        <w:tc>
          <w:tcPr>
            <w:tcW w:w="1158" w:type="pct"/>
          </w:tcPr>
          <w:p w14:paraId="62AD1EA8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267DF890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C3F34" w:rsidRPr="00724CFC" w14:paraId="48C68714" w14:textId="77777777" w:rsidTr="000C3F34">
        <w:tc>
          <w:tcPr>
            <w:tcW w:w="2906" w:type="pct"/>
          </w:tcPr>
          <w:p w14:paraId="5F1A6AA0" w14:textId="77777777" w:rsidR="000C3F34" w:rsidRPr="000C3F34" w:rsidRDefault="000C3F34" w:rsidP="006612F1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Women’s Officer</w:t>
            </w:r>
          </w:p>
          <w:p w14:paraId="34D1C924" w14:textId="6A54FAE7" w:rsidR="000C3F34" w:rsidRPr="000C3F34" w:rsidRDefault="000C3F34" w:rsidP="000C3F34">
            <w:pPr>
              <w:ind w:left="72"/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>Promote and distribute information of UNISON Women’s Services, act as a point of contact for members wanting more information about Women’s issues</w:t>
            </w:r>
          </w:p>
        </w:tc>
        <w:tc>
          <w:tcPr>
            <w:tcW w:w="936" w:type="pct"/>
          </w:tcPr>
          <w:p w14:paraId="739F8864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Dawn Williams</w:t>
            </w:r>
          </w:p>
        </w:tc>
        <w:tc>
          <w:tcPr>
            <w:tcW w:w="1158" w:type="pct"/>
          </w:tcPr>
          <w:p w14:paraId="4A4051A6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208927BF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C3F34" w:rsidRPr="00724CFC" w14:paraId="06265A1A" w14:textId="77777777" w:rsidTr="000C3F34">
        <w:tc>
          <w:tcPr>
            <w:tcW w:w="2906" w:type="pct"/>
          </w:tcPr>
          <w:p w14:paraId="0338E90E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Sports and Social Officer</w:t>
            </w:r>
          </w:p>
          <w:p w14:paraId="395168F2" w14:textId="77777777" w:rsidR="000C3F34" w:rsidRPr="000C3F34" w:rsidRDefault="000C3F34" w:rsidP="006612F1">
            <w:pPr>
              <w:rPr>
                <w:rFonts w:cs="Arial"/>
                <w:i/>
                <w:sz w:val="20"/>
                <w:szCs w:val="20"/>
              </w:rPr>
            </w:pPr>
            <w:r w:rsidRPr="000C3F34">
              <w:rPr>
                <w:rFonts w:cs="Arial"/>
                <w:i/>
                <w:sz w:val="20"/>
                <w:szCs w:val="20"/>
              </w:rPr>
              <w:t>To arrange and promote events for our members e.g. Christmas Pantomime.</w:t>
            </w:r>
          </w:p>
          <w:p w14:paraId="0333E1DD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6" w:type="pct"/>
          </w:tcPr>
          <w:p w14:paraId="77576464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Michelle Davies</w:t>
            </w:r>
          </w:p>
        </w:tc>
        <w:tc>
          <w:tcPr>
            <w:tcW w:w="1158" w:type="pct"/>
          </w:tcPr>
          <w:p w14:paraId="6EB34956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  <w:r w:rsidRPr="000C3F34">
              <w:rPr>
                <w:rFonts w:cs="Arial"/>
                <w:b/>
                <w:sz w:val="20"/>
                <w:szCs w:val="20"/>
              </w:rPr>
              <w:t>David Morgan, Tracey Parry</w:t>
            </w:r>
          </w:p>
          <w:p w14:paraId="6F114F91" w14:textId="77777777" w:rsidR="000C3F34" w:rsidRPr="000C3F34" w:rsidRDefault="000C3F34" w:rsidP="006612F1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0E21C2" w14:textId="77777777" w:rsidR="000C3F34" w:rsidRDefault="000C3F34" w:rsidP="000C3F34"/>
    <w:p w14:paraId="078E5191" w14:textId="77777777" w:rsidR="000C3F34" w:rsidRPr="000C3F34" w:rsidRDefault="000C3F34" w:rsidP="000C3F34"/>
    <w:p w14:paraId="37882EC6" w14:textId="77777777" w:rsidR="00FA6361" w:rsidRDefault="00FA6361" w:rsidP="00FA6361">
      <w:pPr>
        <w:pStyle w:val="Heading2"/>
      </w:pPr>
    </w:p>
    <w:p w14:paraId="3BAD8F3C" w14:textId="77777777" w:rsidR="00FA6361" w:rsidRDefault="00FA6361" w:rsidP="00FA6361">
      <w:pPr>
        <w:pStyle w:val="Heading2"/>
      </w:pPr>
    </w:p>
    <w:p w14:paraId="0C6FC9FF" w14:textId="77777777" w:rsidR="00FA6361" w:rsidRDefault="00FA6361" w:rsidP="00FA6361">
      <w:pPr>
        <w:pStyle w:val="Heading2"/>
      </w:pPr>
      <w:r>
        <w:t xml:space="preserve">This position was nominated and seconded within the agreed timescales but has subsequently been withdrawn.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2254"/>
        <w:gridCol w:w="2395"/>
      </w:tblGrid>
      <w:tr w:rsidR="000C3F34" w:rsidRPr="00724CFC" w14:paraId="70B8EBF4" w14:textId="77777777" w:rsidTr="006612F1">
        <w:tc>
          <w:tcPr>
            <w:tcW w:w="2422" w:type="pct"/>
          </w:tcPr>
          <w:p w14:paraId="3D643B12" w14:textId="77777777" w:rsidR="000C3F34" w:rsidRPr="00724CFC" w:rsidRDefault="000C3F34" w:rsidP="006612F1">
            <w:pPr>
              <w:jc w:val="center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POSITION</w:t>
            </w:r>
          </w:p>
        </w:tc>
        <w:tc>
          <w:tcPr>
            <w:tcW w:w="1250" w:type="pct"/>
          </w:tcPr>
          <w:p w14:paraId="493AF802" w14:textId="77777777" w:rsidR="000C3F34" w:rsidRPr="00724CFC" w:rsidRDefault="000C3F34" w:rsidP="006612F1">
            <w:pPr>
              <w:jc w:val="center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NOMINATION</w:t>
            </w:r>
          </w:p>
        </w:tc>
        <w:tc>
          <w:tcPr>
            <w:tcW w:w="1328" w:type="pct"/>
          </w:tcPr>
          <w:p w14:paraId="76492FBA" w14:textId="77777777" w:rsidR="000C3F34" w:rsidRPr="00724CFC" w:rsidRDefault="000C3F34" w:rsidP="006612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Agreed/Seconded</w:t>
            </w:r>
          </w:p>
        </w:tc>
      </w:tr>
      <w:tr w:rsidR="000C3F34" w:rsidRPr="00724CFC" w14:paraId="451C88A7" w14:textId="77777777" w:rsidTr="006612F1">
        <w:tc>
          <w:tcPr>
            <w:tcW w:w="2422" w:type="pct"/>
          </w:tcPr>
          <w:p w14:paraId="5ED87F87" w14:textId="77777777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Health and Safety Officer</w:t>
            </w:r>
          </w:p>
          <w:p w14:paraId="32A14C7D" w14:textId="77777777" w:rsidR="000C3F34" w:rsidRPr="00724CFC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Increase awareness of H&amp;S issues; attend H&amp;S meetings of the branch and employer, involved in H&amp;S negotiations.</w:t>
            </w:r>
          </w:p>
        </w:tc>
        <w:tc>
          <w:tcPr>
            <w:tcW w:w="1250" w:type="pct"/>
          </w:tcPr>
          <w:p w14:paraId="71002735" w14:textId="77777777" w:rsidR="000C3F34" w:rsidRDefault="000C3F34" w:rsidP="006612F1">
            <w:pPr>
              <w:rPr>
                <w:rFonts w:cs="Arial"/>
                <w:b/>
              </w:rPr>
            </w:pPr>
          </w:p>
          <w:p w14:paraId="2DED0741" w14:textId="77777777" w:rsidR="000C3F34" w:rsidRPr="00724CFC" w:rsidRDefault="000C3F34" w:rsidP="006612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Terry Flanagan</w:t>
            </w:r>
          </w:p>
        </w:tc>
        <w:tc>
          <w:tcPr>
            <w:tcW w:w="1328" w:type="pct"/>
          </w:tcPr>
          <w:p w14:paraId="793C0AC6" w14:textId="77777777" w:rsidR="000C3F34" w:rsidRDefault="000C3F34" w:rsidP="006612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David Morgan, Tracey Parry</w:t>
            </w:r>
          </w:p>
          <w:p w14:paraId="0F7636AF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</w:tr>
    </w:tbl>
    <w:p w14:paraId="3E338AAF" w14:textId="77777777" w:rsidR="00FA6361" w:rsidRDefault="00FA6361" w:rsidP="00FA6361">
      <w:pPr>
        <w:pStyle w:val="Heading2"/>
      </w:pPr>
    </w:p>
    <w:p w14:paraId="33E0724B" w14:textId="3072C670" w:rsidR="006A1065" w:rsidRDefault="00FA6361" w:rsidP="00FA6361">
      <w:pPr>
        <w:pStyle w:val="Heading2"/>
      </w:pPr>
      <w:r>
        <w:t>These positions are vacant and can be nominated, seconded and elected in the AGM meeting</w:t>
      </w:r>
    </w:p>
    <w:p w14:paraId="69D321A3" w14:textId="77777777" w:rsidR="000C3F34" w:rsidRDefault="000C3F34" w:rsidP="006A10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2254"/>
        <w:gridCol w:w="2395"/>
      </w:tblGrid>
      <w:tr w:rsidR="000C3F34" w:rsidRPr="00724CFC" w14:paraId="702FFBD6" w14:textId="77777777" w:rsidTr="006612F1">
        <w:tc>
          <w:tcPr>
            <w:tcW w:w="2422" w:type="pct"/>
          </w:tcPr>
          <w:p w14:paraId="63BE4879" w14:textId="77777777" w:rsidR="000C3F34" w:rsidRPr="00724CFC" w:rsidRDefault="000C3F34" w:rsidP="006612F1">
            <w:pPr>
              <w:jc w:val="center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POSITION</w:t>
            </w:r>
          </w:p>
        </w:tc>
        <w:tc>
          <w:tcPr>
            <w:tcW w:w="1250" w:type="pct"/>
          </w:tcPr>
          <w:p w14:paraId="15EF3721" w14:textId="77777777" w:rsidR="000C3F34" w:rsidRPr="00724CFC" w:rsidRDefault="000C3F34" w:rsidP="006612F1">
            <w:pPr>
              <w:jc w:val="center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NOMINATION</w:t>
            </w:r>
          </w:p>
        </w:tc>
        <w:tc>
          <w:tcPr>
            <w:tcW w:w="1328" w:type="pct"/>
          </w:tcPr>
          <w:p w14:paraId="1522B96B" w14:textId="77777777" w:rsidR="000C3F34" w:rsidRPr="00724CFC" w:rsidRDefault="000C3F34" w:rsidP="006612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Agreed/Seconded</w:t>
            </w:r>
          </w:p>
        </w:tc>
      </w:tr>
      <w:tr w:rsidR="000C3F34" w:rsidRPr="00724CFC" w14:paraId="6C6BB69E" w14:textId="77777777" w:rsidTr="006612F1">
        <w:tc>
          <w:tcPr>
            <w:tcW w:w="2422" w:type="pct"/>
          </w:tcPr>
          <w:p w14:paraId="090AA58A" w14:textId="77777777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Education Co-ordinator</w:t>
            </w:r>
          </w:p>
          <w:p w14:paraId="787D639D" w14:textId="77777777" w:rsidR="000C3F34" w:rsidRPr="00724CFC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Maintain training plans for the branch stewards and officers. Promote the unions learning agenda and services.</w:t>
            </w:r>
          </w:p>
        </w:tc>
        <w:tc>
          <w:tcPr>
            <w:tcW w:w="1250" w:type="pct"/>
          </w:tcPr>
          <w:p w14:paraId="7D637EFC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6D0B7A9C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</w:tr>
      <w:tr w:rsidR="000C3F34" w:rsidRPr="00724CFC" w14:paraId="64D9B12A" w14:textId="77777777" w:rsidTr="006612F1">
        <w:tc>
          <w:tcPr>
            <w:tcW w:w="2422" w:type="pct"/>
          </w:tcPr>
          <w:p w14:paraId="7B49C6A7" w14:textId="77777777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Lifelong Learning Co-ordinator</w:t>
            </w:r>
          </w:p>
          <w:p w14:paraId="5856ED3A" w14:textId="77777777" w:rsidR="000C3F34" w:rsidRPr="00724CFC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Works closely with the Education Co-ordinator, co-ordinates the work of branch learning reps, promotes learning in the branch and workplace.</w:t>
            </w:r>
          </w:p>
        </w:tc>
        <w:tc>
          <w:tcPr>
            <w:tcW w:w="1250" w:type="pct"/>
          </w:tcPr>
          <w:p w14:paraId="19D7ADF4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023921FE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</w:tr>
      <w:tr w:rsidR="000C3F34" w:rsidRPr="00724CFC" w14:paraId="7B975D33" w14:textId="77777777" w:rsidTr="006612F1">
        <w:tc>
          <w:tcPr>
            <w:tcW w:w="2422" w:type="pct"/>
          </w:tcPr>
          <w:p w14:paraId="362745D9" w14:textId="77777777" w:rsidR="000C3F34" w:rsidRPr="00724CFC" w:rsidRDefault="000C3F34" w:rsidP="000C3F34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Membership Officer</w:t>
            </w:r>
          </w:p>
          <w:p w14:paraId="351F0D1C" w14:textId="1BAF5B5E" w:rsidR="000C3F34" w:rsidRPr="00724CFC" w:rsidRDefault="000C3F34" w:rsidP="000C3F34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Map membership to identify density and steward coverage, monitor recruitment, and work with the development plan.</w:t>
            </w:r>
          </w:p>
        </w:tc>
        <w:tc>
          <w:tcPr>
            <w:tcW w:w="1250" w:type="pct"/>
          </w:tcPr>
          <w:p w14:paraId="0346AC5D" w14:textId="77777777" w:rsidR="000C3F34" w:rsidRPr="00724CFC" w:rsidRDefault="000C3F34" w:rsidP="000C3F34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494F204F" w14:textId="77777777" w:rsidR="000C3F34" w:rsidRPr="00724CFC" w:rsidRDefault="000C3F34" w:rsidP="000C3F34">
            <w:pPr>
              <w:rPr>
                <w:rFonts w:cs="Arial"/>
                <w:b/>
              </w:rPr>
            </w:pPr>
          </w:p>
        </w:tc>
      </w:tr>
      <w:tr w:rsidR="000C3F34" w:rsidRPr="00724CFC" w14:paraId="40CC86D3" w14:textId="77777777" w:rsidTr="006612F1">
        <w:tc>
          <w:tcPr>
            <w:tcW w:w="2422" w:type="pct"/>
          </w:tcPr>
          <w:p w14:paraId="015D23B9" w14:textId="77777777" w:rsidR="000C3F34" w:rsidRPr="00724CFC" w:rsidRDefault="000C3F34" w:rsidP="000C3F34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International Officer</w:t>
            </w:r>
          </w:p>
          <w:p w14:paraId="34154630" w14:textId="6D30263A" w:rsidR="000C3F34" w:rsidRPr="00724CFC" w:rsidRDefault="000C3F34" w:rsidP="000C3F34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Co-ordinate branch work on international issues, distribute information, liaise with other branches on international issues.</w:t>
            </w:r>
          </w:p>
        </w:tc>
        <w:tc>
          <w:tcPr>
            <w:tcW w:w="1250" w:type="pct"/>
          </w:tcPr>
          <w:p w14:paraId="2F325C5B" w14:textId="77777777" w:rsidR="000C3F34" w:rsidRPr="00724CFC" w:rsidRDefault="000C3F34" w:rsidP="000C3F34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3A0DDC63" w14:textId="77777777" w:rsidR="000C3F34" w:rsidRPr="00724CFC" w:rsidRDefault="000C3F34" w:rsidP="000C3F34">
            <w:pPr>
              <w:rPr>
                <w:rFonts w:cs="Arial"/>
                <w:b/>
              </w:rPr>
            </w:pPr>
          </w:p>
        </w:tc>
      </w:tr>
      <w:tr w:rsidR="000C3F34" w:rsidRPr="00724CFC" w14:paraId="6042E8BB" w14:textId="77777777" w:rsidTr="006612F1">
        <w:tc>
          <w:tcPr>
            <w:tcW w:w="2422" w:type="pct"/>
          </w:tcPr>
          <w:p w14:paraId="563498AD" w14:textId="77777777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Environmental Officer</w:t>
            </w:r>
          </w:p>
          <w:p w14:paraId="3AD21038" w14:textId="77777777" w:rsidR="000C3F34" w:rsidRPr="00724CFC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To work with Denbighshire and External Agencies to raise awareness of environmental issues - global warming, carbon footprint etc.</w:t>
            </w:r>
          </w:p>
        </w:tc>
        <w:tc>
          <w:tcPr>
            <w:tcW w:w="1250" w:type="pct"/>
          </w:tcPr>
          <w:p w14:paraId="27C51959" w14:textId="77777777" w:rsidR="000C3F34" w:rsidRDefault="000C3F34" w:rsidP="006612F1">
            <w:pPr>
              <w:rPr>
                <w:rFonts w:cs="Arial"/>
                <w:b/>
              </w:rPr>
            </w:pPr>
          </w:p>
          <w:p w14:paraId="4F6A3F7A" w14:textId="77777777" w:rsidR="000C3F34" w:rsidRPr="005B52FB" w:rsidRDefault="000C3F34" w:rsidP="006612F1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3A12047C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</w:tr>
    </w:tbl>
    <w:p w14:paraId="10180727" w14:textId="77777777" w:rsidR="000C3F34" w:rsidRDefault="000C3F34">
      <w:r>
        <w:br w:type="page"/>
      </w:r>
    </w:p>
    <w:p w14:paraId="493F189D" w14:textId="77777777" w:rsidR="000C3F34" w:rsidRDefault="000C3F34"/>
    <w:p w14:paraId="5F7C3D4D" w14:textId="77777777" w:rsidR="000C3F34" w:rsidRDefault="000C3F34"/>
    <w:p w14:paraId="47ECC69C" w14:textId="77777777" w:rsidR="000C3F34" w:rsidRDefault="000C3F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2254"/>
        <w:gridCol w:w="2395"/>
      </w:tblGrid>
      <w:tr w:rsidR="000C3F34" w:rsidRPr="00724CFC" w14:paraId="05CB9029" w14:textId="77777777" w:rsidTr="006612F1">
        <w:tc>
          <w:tcPr>
            <w:tcW w:w="2422" w:type="pct"/>
          </w:tcPr>
          <w:p w14:paraId="01E7260E" w14:textId="2318F913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Young Members Officer</w:t>
            </w:r>
          </w:p>
          <w:p w14:paraId="1BAB8B94" w14:textId="77777777" w:rsidR="000C3F34" w:rsidRPr="00724CFC" w:rsidRDefault="000C3F34" w:rsidP="006612F1">
            <w:pPr>
              <w:ind w:left="72"/>
              <w:rPr>
                <w:rFonts w:cs="Arial"/>
                <w:i/>
                <w:sz w:val="20"/>
                <w:szCs w:val="20"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Must be under 27 for the whole term of office. Promote the values of the union and organise among young workers. Report issues to the branch</w:t>
            </w:r>
          </w:p>
        </w:tc>
        <w:tc>
          <w:tcPr>
            <w:tcW w:w="1250" w:type="pct"/>
          </w:tcPr>
          <w:p w14:paraId="1F1671DB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3B1A94CF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</w:tr>
      <w:tr w:rsidR="000C3F34" w:rsidRPr="00724CFC" w14:paraId="4B05E1BC" w14:textId="77777777" w:rsidTr="006612F1">
        <w:tc>
          <w:tcPr>
            <w:tcW w:w="2422" w:type="pct"/>
          </w:tcPr>
          <w:p w14:paraId="6D6628E4" w14:textId="77777777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b/>
              </w:rPr>
              <w:t>Welfare Officer</w:t>
            </w:r>
          </w:p>
          <w:p w14:paraId="033BB548" w14:textId="77777777" w:rsidR="000C3F34" w:rsidRPr="00724CFC" w:rsidRDefault="000C3F34" w:rsidP="006612F1">
            <w:pPr>
              <w:ind w:left="72"/>
              <w:rPr>
                <w:rFonts w:cs="Arial"/>
                <w:b/>
              </w:rPr>
            </w:pPr>
            <w:r w:rsidRPr="00724CFC">
              <w:rPr>
                <w:rFonts w:cs="Arial"/>
                <w:i/>
                <w:sz w:val="20"/>
                <w:szCs w:val="20"/>
              </w:rPr>
              <w:t>Promote and distribute information of UNISON welfare services, act as a point of contact for members with welfare issues.</w:t>
            </w:r>
          </w:p>
        </w:tc>
        <w:tc>
          <w:tcPr>
            <w:tcW w:w="1250" w:type="pct"/>
          </w:tcPr>
          <w:p w14:paraId="24A647C6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  <w:tc>
          <w:tcPr>
            <w:tcW w:w="1328" w:type="pct"/>
          </w:tcPr>
          <w:p w14:paraId="1A1C4EC0" w14:textId="77777777" w:rsidR="000C3F34" w:rsidRPr="00724CFC" w:rsidRDefault="000C3F34" w:rsidP="006612F1">
            <w:pPr>
              <w:rPr>
                <w:rFonts w:cs="Arial"/>
                <w:b/>
              </w:rPr>
            </w:pPr>
          </w:p>
        </w:tc>
      </w:tr>
    </w:tbl>
    <w:p w14:paraId="448D8428" w14:textId="47A28B5B" w:rsidR="006A1065" w:rsidRDefault="00C63587" w:rsidP="006A1065">
      <w:r w:rsidRPr="00C63587">
        <w:br/>
      </w:r>
      <w:r w:rsidR="000C3F34">
        <w:t xml:space="preserve">The posts of Labour Link Officer </w:t>
      </w:r>
      <w:proofErr w:type="gramStart"/>
      <w:r w:rsidR="000C3F34">
        <w:t>is</w:t>
      </w:r>
      <w:proofErr w:type="gramEnd"/>
      <w:r w:rsidR="000C3F34">
        <w:t xml:space="preserve"> elected separately by those who pay into the APF</w:t>
      </w:r>
    </w:p>
    <w:p w14:paraId="3BD8FBA6" w14:textId="1CEF89E0" w:rsidR="000C3F34" w:rsidRPr="006A1065" w:rsidRDefault="000C3F34" w:rsidP="006A1065">
      <w:r>
        <w:t>The post of Retired Members Officer is elected separately from among the retired members</w:t>
      </w:r>
    </w:p>
    <w:sectPr w:rsidR="000C3F34" w:rsidRPr="006A106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49BB" w14:textId="77777777" w:rsidR="00FA6361" w:rsidRDefault="00FA6361" w:rsidP="00C52B26">
      <w:pPr>
        <w:spacing w:after="0" w:line="240" w:lineRule="auto"/>
      </w:pPr>
      <w:r>
        <w:separator/>
      </w:r>
    </w:p>
  </w:endnote>
  <w:endnote w:type="continuationSeparator" w:id="0">
    <w:p w14:paraId="617A50F8" w14:textId="77777777" w:rsidR="00FA6361" w:rsidRDefault="00FA6361" w:rsidP="00C5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983A" w14:textId="77777777" w:rsidR="00C52B26" w:rsidRDefault="00C52B26" w:rsidP="00C52B26">
    <w:hyperlink r:id="rId1" w:history="1">
      <w:r w:rsidRPr="004224B6">
        <w:rPr>
          <w:rStyle w:val="Hyperlink"/>
        </w:rPr>
        <w:t>unison@denbighshire.gov.uk</w:t>
      </w:r>
    </w:hyperlink>
    <w:r>
      <w:tab/>
    </w:r>
    <w:r>
      <w:tab/>
      <w:t xml:space="preserve">01824 708010        </w:t>
    </w:r>
    <w:hyperlink r:id="rId2" w:history="1">
      <w:r>
        <w:rPr>
          <w:rStyle w:val="Hyperlink"/>
        </w:rPr>
        <w:t>Home - (unisondenbighshire.org.uk)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1AAB" w14:textId="77777777" w:rsidR="00FA6361" w:rsidRDefault="00FA6361" w:rsidP="00C52B26">
      <w:pPr>
        <w:spacing w:after="0" w:line="240" w:lineRule="auto"/>
      </w:pPr>
      <w:r>
        <w:separator/>
      </w:r>
    </w:p>
  </w:footnote>
  <w:footnote w:type="continuationSeparator" w:id="0">
    <w:p w14:paraId="544D09C9" w14:textId="77777777" w:rsidR="00FA6361" w:rsidRDefault="00FA6361" w:rsidP="00C5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601C" w14:textId="59C38F8E" w:rsidR="00C52B26" w:rsidRDefault="00FA6361">
    <w:pPr>
      <w:pStyle w:val="Header"/>
    </w:pPr>
    <w:r>
      <w:t>March</w:t>
    </w:r>
    <w:r w:rsidR="0057410F">
      <w:t xml:space="preserve"> 202</w:t>
    </w:r>
    <w:r w:rsidR="00C52B26">
      <w:rPr>
        <w:noProof/>
      </w:rPr>
      <w:drawing>
        <wp:anchor distT="0" distB="0" distL="114300" distR="114300" simplePos="0" relativeHeight="251657215" behindDoc="0" locked="0" layoutInCell="1" allowOverlap="1" wp14:anchorId="7F4E161A" wp14:editId="71B2DFF9">
          <wp:simplePos x="0" y="0"/>
          <wp:positionH relativeFrom="column">
            <wp:posOffset>5071745</wp:posOffset>
          </wp:positionH>
          <wp:positionV relativeFrom="paragraph">
            <wp:posOffset>-163512</wp:posOffset>
          </wp:positionV>
          <wp:extent cx="1160780" cy="1160780"/>
          <wp:effectExtent l="0" t="0" r="1270" b="1270"/>
          <wp:wrapNone/>
          <wp:docPr id="252409646" name="Picture 1" descr="A purpl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urple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B26">
      <w:rPr>
        <w:noProof/>
      </w:rPr>
      <w:drawing>
        <wp:anchor distT="0" distB="0" distL="114300" distR="114300" simplePos="0" relativeHeight="251658240" behindDoc="0" locked="0" layoutInCell="1" allowOverlap="1" wp14:anchorId="76474F76" wp14:editId="28C05363">
          <wp:simplePos x="0" y="0"/>
          <wp:positionH relativeFrom="column">
            <wp:posOffset>5108575</wp:posOffset>
          </wp:positionH>
          <wp:positionV relativeFrom="paragraph">
            <wp:posOffset>-209233</wp:posOffset>
          </wp:positionV>
          <wp:extent cx="1160780" cy="1160780"/>
          <wp:effectExtent l="0" t="0" r="1270" b="1270"/>
          <wp:wrapNone/>
          <wp:docPr id="981533752" name="Picture 1" descr="A purpl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urple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61"/>
    <w:rsid w:val="00027B14"/>
    <w:rsid w:val="000C3F34"/>
    <w:rsid w:val="00537AA2"/>
    <w:rsid w:val="0057410F"/>
    <w:rsid w:val="006A1065"/>
    <w:rsid w:val="00840D9F"/>
    <w:rsid w:val="00C36851"/>
    <w:rsid w:val="00C52B26"/>
    <w:rsid w:val="00C63587"/>
    <w:rsid w:val="00D177E2"/>
    <w:rsid w:val="00F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0A44E"/>
  <w15:chartTrackingRefBased/>
  <w15:docId w15:val="{DC361C4A-5EBD-4216-8C5E-3358D3A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2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10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10F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26"/>
  </w:style>
  <w:style w:type="paragraph" w:styleId="Footer">
    <w:name w:val="footer"/>
    <w:basedOn w:val="Normal"/>
    <w:link w:val="FooterChar"/>
    <w:uiPriority w:val="99"/>
    <w:unhideWhenUsed/>
    <w:rsid w:val="00C52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26"/>
  </w:style>
  <w:style w:type="character" w:styleId="Hyperlink">
    <w:name w:val="Hyperlink"/>
    <w:basedOn w:val="DefaultParagraphFont"/>
    <w:uiPriority w:val="99"/>
    <w:unhideWhenUsed/>
    <w:rsid w:val="00C52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410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10F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57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741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74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10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10F"/>
    <w:rPr>
      <w:vertAlign w:val="superscript"/>
    </w:rPr>
  </w:style>
  <w:style w:type="paragraph" w:styleId="NoSpacing">
    <w:name w:val="No Spacing"/>
    <w:uiPriority w:val="1"/>
    <w:qFormat/>
    <w:rsid w:val="0057410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nisondenbighshire.org.uk/" TargetMode="External"/><Relationship Id="rId1" Type="http://schemas.openxmlformats.org/officeDocument/2006/relationships/hyperlink" Target="mailto:unison@denbigh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90077\Documents\Custom%20Office%20Templates\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6662-27F9-4A5E-A931-9D78E9F9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</Template>
  <TotalTime>20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David Morgan</cp:lastModifiedBy>
  <cp:revision>1</cp:revision>
  <dcterms:created xsi:type="dcterms:W3CDTF">2025-03-05T09:30:00Z</dcterms:created>
  <dcterms:modified xsi:type="dcterms:W3CDTF">2025-03-05T10:01:00Z</dcterms:modified>
</cp:coreProperties>
</file>